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DATA RETENTION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POLICY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Lifecycle &amp; Archival Standards</w:t>
      </w:r>
    </w:p>
    <w:p>
      <w:r>
        <w:br w:type="page"/>
      </w:r>
    </w:p>
    <w:p>
      <w:pPr>
        <w:pStyle w:val="Heading1"/>
      </w:pPr>
      <w:r>
        <w:t xml:space="preserve">1. Retention Standards by Data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000"/>
        <w:gridCol w:w="1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Category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Hot Storage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Warm Storage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Archive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Deletion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Transactional 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90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years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years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7+ years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Reference 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Current + 1 yr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years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years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10+ years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Audit/Compliance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year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 years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years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regulation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Operational Logs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90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year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1+ years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Temp/Staging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N/A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N/A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days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Retention by Domain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2000"/>
        <w:gridCol w:w="2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Domain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Regulatory Requirement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Retention Period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Steward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Member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HIPAA - 6 years from last service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years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CMS - 10 years for Medicare/Medicaid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years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State licensing - varies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years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SOX - 7 years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 years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Archival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Identify data eligible for archival based on policy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Generate archive manifest and validate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archive to cold storage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archive integrity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Remove from hot storage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Update retention log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 Governance]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Governance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[Legal/Compliance]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Compliance Officer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Data Retention Policy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2026-01-08T16:47:31.790Z</dcterms:created>
  <dcterms:modified xsi:type="dcterms:W3CDTF">2026-01-08T16:47:31.790Z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